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tf" ContentType="application/x-font-ttf"/>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14:paraId="00000001"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pPr>
      <w:r>
        <w:rPr>
          <w:noProof/>
        </w:rPr>
        <w:drawing>
          <wp:inline distB="114300" distL="114300" distR="114300" distT="114300">
            <wp:extent cx="5943600" cy="76200"/>
            <wp:effectExtent b="0" l="0" r="0" t="0"/>
            <wp:docPr descr="horizontale lijn" id="1" name="image1.png"/>
            <a:graphic>
              <a:graphicData uri="http://schemas.openxmlformats.org/drawingml/2006/picture">
                <pic:pic>
                  <pic:nvPicPr>
                    <pic:cNvPr descr="horizontale lijn" id="0" name="image1.png"/>
                    <pic:cNvPicPr preferRelativeResize="0"/>
                  </pic:nvPicPr>
                  <pic:blipFill>
                    <a:blip r:embed="rId11"/>
                    <a:srcRect/>
                    <a:stretch>
                      <a:fillRect/>
                    </a:stretch>
                  </pic:blipFill>
                  <pic:spPr>
                    <a:xfrm>
                      <a:off x="0" y="0"/>
                      <a:ext cx="5943600" cy="76200"/>
                    </a:xfrm>
                    <a:prstGeom prst="rect"/>
                    <a:ln/>
                  </pic:spPr>
                </pic:pic>
              </a:graphicData>
            </a:graphic>
          </wp:inline>
        </w:drawing>
      </w:r>
      <w:r w:rsidR="00000000" w:rsidDel="00000000" w:rsidRPr="00000000">
        <w:rPr>
          <w:rtl w:val="0"/>
        </w:rPr>
      </w:r>
    </w:p>
    <w:p w:rsidR="00000000" w:rsidDel="00000000" w:rsidRDefault="00000000" w14:paraId="00000002"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Title"/>
      </w:pPr>
      <w:r>
        <w:t>Begraven en geloof</w:t>
      </w:r>
      <w:bookmarkStart w:colFirst="0" w:colLast="0" w:name="_2gazcsgmxkub" w:id="0"/>
      <w:bookmarkEnd w:id="0"/>
    </w:p>
    <w:p w:rsidR="00000000" w:rsidDel="00000000" w:rsidRDefault="00000000" w14:paraId="00000003"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Subtitle"/>
        <w:rPr>
          <w:color w:val="695D46"/>
        </w:rPr>
      </w:pPr>
      <w:bookmarkStart w:colFirst="0" w:colLast="0" w:name="_2nuf54q86v7q" w:id="1"/>
      <w:bookmarkEnd w:id="1"/>
      <w:r w:rsidR="00000000" w:rsidDel="00000000" w:rsidRPr="00000000">
        <w:rPr>
          <w:rtl w:val="0"/>
        </w:rPr>
        <w:t>Begraven in de prehistorie</w:t>
      </w:r>
      <w:r w:rsidR="00000000" w:rsidDel="00000000" w:rsidRPr="00000000">
        <w:rPr>
          <w:rtl w:val="0"/>
        </w:rPr>
      </w:r>
    </w:p>
    <w:p w:rsidR="00000000" w:rsidDel="00000000" w:rsidRDefault="00000000" w14:paraId="00000004"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0"/>
        <w:rPr>
          <w:b/>
          <w:sz w:val="36"/>
          <w:szCs w:val="36"/>
        </w:rPr>
      </w:pPr>
      <w:r w:rsidR="00000000" w:rsidDel="00000000" w:rsidRPr="00000000">
        <w:rPr>
          <w:rtl w:val="0"/>
          <w:b/>
          <w:rFonts w:ascii="Arial Unicode MS" w:cs="Arial Unicode MS" w:eastAsia="Arial Unicode MS" w:hAnsi="Arial Unicode MS"/>
          <w:sz w:val="36"/>
          <w:szCs w:val="36"/>
        </w:rPr>
        <w:t>─</w:t>
      </w:r>
    </w:p>
    <w:p w:rsidR="00000000" w:rsidDel="00000000" w:rsidRDefault="00000000" w14:paraId="00000005"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Heading1"/>
        <w:rPr>
          <w:color w:val="FF5E0E"/>
        </w:rPr>
      </w:pPr>
      <w:bookmarkStart w:colFirst="0" w:colLast="0" w:name="_pmazbh81wixz" w:id="2"/>
      <w:bookmarkEnd w:id="2"/>
      <w:r w:rsidR="00000000" w:rsidDel="00000000" w:rsidRPr="00000000">
        <w:rPr>
          <w:rtl w:val="0"/>
        </w:rPr>
        <w:t>De dood</w:t>
      </w:r>
      <w:r w:rsidR="00000000" w:rsidDel="00000000" w:rsidRPr="00000000">
        <w:rPr>
          <w:rtl w:val="0"/>
        </w:rPr>
      </w:r>
    </w:p>
    <w:p w:rsidR="00000000" w:rsidDel="00000000" w:rsidRDefault="00000000" w14:paraId="00000006"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120"/>
        <w:rPr>
          <w:i/>
        </w:rPr>
      </w:pPr>
      <w:r w:rsidR="00000000" w:rsidDel="00000000" w:rsidRPr="00000000">
        <w:rPr>
          <w:rtl w:val="0"/>
          <w:i/>
        </w:rPr>
        <w:t xml:space="preserve">De oudste mensen hebben de doden gewoon ergens achtergelaten. Ze trokken vaak rond en hadden geen ceremoniële begrafenissen. Later kwam hier echter verandering in. </w:t>
      </w:r>
    </w:p>
    <w:p w:rsidR="00000000" w:rsidDel="00000000" w:rsidRDefault="00000000" w14:paraId="00000007"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120"/>
        <w:rPr>
          <w:i/>
        </w:rPr>
      </w:pPr>
      <w:r w:rsidR="00000000" w:rsidDel="00000000" w:rsidRPr="00000000">
        <w:rPr>
          <w:rtl w:val="0"/>
          <w:i/>
        </w:rPr>
        <w:t xml:space="preserve">De </w:t>
      </w:r>
      <w:r w:rsidR="00000000" w:rsidDel="00000000" w:rsidRPr="00000000">
        <w:rPr>
          <w:rtl w:val="0"/>
          <w:b/>
          <w:i/>
        </w:rPr>
        <w:t>homo sapiens</w:t>
      </w:r>
      <w:r w:rsidR="00000000" w:rsidDel="00000000" w:rsidRPr="00000000">
        <w:rPr>
          <w:rtl w:val="0"/>
          <w:i/>
        </w:rPr>
        <w:t xml:space="preserve"> begonnen hun doden te begraven. Belangrijke mensen werden op een goede manier begraven, terwijl mensen zonder aanzien vaak op een andere manier werden begraven. Daarnaast was het opmerkelijk dat de doden voorwerpen mee kregen. </w:t>
      </w:r>
    </w:p>
    <w:p w:rsidR="00000000" w:rsidDel="00000000" w:rsidRDefault="00000000" w14:paraId="00000008" w:rsidP="00000000" w:rsidRPr="00000000">
      <w:pPr>
        <w:pBdr>
          <w:top w:val="nil" w:sz="0" w:color="auto" w:space="0"/>
          <w:bottom w:val="nil" w:sz="0" w:color="auto" w:space="0"/>
          <w:left w:val="nil" w:sz="0" w:color="auto" w:space="0"/>
          <w:right w:val="nil" w:sz="0" w:color="auto" w:space="0"/>
          <w:between w:val="nil" w:sz="0" w:color="auto" w:space="0"/>
        </w:pBdr>
        <w:shd w:fill="auto" w:val="clear"/>
        <w:spacing w:before="120"/>
        <w:rPr>
          <w:i/>
        </w:rPr>
      </w:pPr>
      <w:r w:rsidR="00000000" w:rsidDel="00000000" w:rsidRPr="00000000">
        <w:rPr>
          <w:rtl w:val="0"/>
          <w:i/>
        </w:rPr>
        <w:t xml:space="preserve">Archeologen vonden bij opgravingen allerlei voorwerpen. Van sieraden tot aan kledingstukken. Dit liet zien dat men in die tijd al geloofde in een hiernamaals. </w:t>
      </w:r>
      <w:r w:rsidR="00000000" w:rsidDel="00000000" w:rsidRPr="00000000">
        <w:rPr>
          <w:rtl w:val="0"/>
        </w:rPr>
      </w:r>
    </w:p>
    <w:p w:rsidR="00000000" w:rsidDel="00000000" w:rsidRDefault="00000000" w14:paraId="00000009" w:rsidP="00000000" w:rsidRPr="00000000">
      <w:pPr>
        <w:pBdr>
          <w:top w:val="nil" w:sz="0" w:color="auto" w:space="0"/>
          <w:bottom w:val="nil" w:sz="0" w:color="auto" w:space="0"/>
          <w:left w:val="nil" w:sz="0" w:color="auto" w:space="0"/>
          <w:right w:val="nil" w:sz="0" w:color="auto" w:space="0"/>
          <w:between w:val="nil" w:sz="0" w:color="auto" w:space="0"/>
        </w:pBdr>
        <w:shd w:fill="auto" w:val="clear"/>
        <w:pStyle w:val="Heading1"/>
        <w:rPr>
          <w:color w:val="008575"/>
          <w:sz w:val="36"/>
          <w:szCs w:val="36"/>
        </w:rPr>
      </w:pPr>
      <w:bookmarkStart w:colFirst="0" w:colLast="0" w:name="_3at9u9s4e0vp" w:id="3"/>
      <w:bookmarkEnd w:id="3"/>
      <w:r w:rsidR="00000000" w:rsidDel="00000000" w:rsidRPr="00000000">
        <w:rPr>
          <w:rtl w:val="0"/>
        </w:rPr>
        <w:t>Geloof</w:t>
      </w:r>
      <w:r w:rsidR="00000000" w:rsidDel="00000000" w:rsidRPr="00000000">
        <w:rPr>
          <w:rtl w:val="0"/>
        </w:rPr>
      </w:r>
    </w:p>
    <w:p w:rsidR="00000000" w:rsidDel="00000000" w:rsidRDefault="00000000" w14:paraId="0000000A"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 xml:space="preserve">De homo sapiens begonnen hun doden te begraven. Bij de graven van de doden werden vaak voorwerpen opgegraven. Archeologen geven aan dat de mensen in de </w:t>
      </w:r>
      <w:r w:rsidR="00000000" w:rsidDel="00000000" w:rsidRPr="00000000">
        <w:rPr>
          <w:rtl w:val="0"/>
          <w:b/>
        </w:rPr>
        <w:t xml:space="preserve">steentijd </w:t>
      </w:r>
      <w:r w:rsidR="00000000" w:rsidDel="00000000" w:rsidRPr="00000000">
        <w:rPr>
          <w:rtl w:val="0"/>
        </w:rPr>
        <w:t xml:space="preserve">waarschijnlijk in goden geloofden. De doden kregen voorwerpen mee, waarbij men dacht dat ze die na hun dood nog nodig hadden. Daarnaast was er in deze tijd ook sprake van kannibalisme. Men dacht namelijk dat ze zo de levenskracht van doden konden krijgen. </w:t>
      </w:r>
    </w:p>
    <w:p w:rsidR="00000000" w:rsidDel="00000000" w:rsidRDefault="00000000" w14:paraId="0000000B" w:rsidP="00000000" w:rsidRPr="00000000">
      <w:pPr>
        <w:pBdr>
          <w:top w:val="nil" w:sz="0" w:color="auto" w:space="0"/>
          <w:bottom w:val="nil" w:sz="0" w:color="auto" w:space="0"/>
          <w:left w:val="nil" w:sz="0" w:color="auto" w:space="0"/>
          <w:right w:val="nil" w:sz="0" w:color="auto" w:space="0"/>
          <w:between w:val="nil" w:sz="0" w:color="auto" w:space="0"/>
        </w:pBdr>
        <w:shd w:fill="auto" w:val="clear"/>
        <w:ind w:left="0"/>
        <w:ind w:firstLine="0"/>
      </w:pPr>
      <w:r w:rsidR="00000000" w:rsidDel="00000000" w:rsidRPr="00000000">
        <w:rPr>
          <w:rtl w:val="0"/>
        </w:rPr>
        <w:t>Hun geloof was vooral gebaseerd op de natuur.</w:t>
      </w:r>
      <w:r w:rsidR="00000000" w:rsidDel="00000000" w:rsidRPr="00000000">
        <w:rPr>
          <w:rtl w:val="0"/>
        </w:rPr>
        <w:t xml:space="preserve"> Men was bang van bepaalde natuurverschijnselen en om dit te voorkomen werden er allerlei offers gebracht. Er zijn beelden van goden opgegraven die laten zien, dat men in die tijd geloofden in goden. </w:t>
      </w:r>
    </w:p>
    <w:p w:rsidR="00000000" w:rsidDel="00000000" w:rsidRDefault="00000000" w14:paraId="0000000C" w:rsidP="00000000" w:rsidRPr="00000000">
      <w:pPr>
        <w:pBdr>
          <w:top w:val="nil" w:sz="0" w:color="auto" w:space="0"/>
          <w:bottom w:val="nil" w:sz="0" w:color="auto" w:space="0"/>
          <w:left w:val="nil" w:sz="0" w:color="auto" w:space="0"/>
          <w:right w:val="nil" w:sz="0" w:color="auto" w:space="0"/>
          <w:between w:val="nil" w:sz="0" w:color="auto" w:space="0"/>
        </w:pBdr>
        <w:shd w:fill="auto" w:val="clear"/>
      </w:pPr>
      <w:r w:rsidR="00000000" w:rsidDel="00000000" w:rsidRPr="00000000">
        <w:rPr>
          <w:rtl w:val="0"/>
        </w:rPr>
      </w:r>
    </w:p>
    <w:p w:rsidR="00000000" w:rsidDel="00000000" w:rsidRDefault="00000000" w14:paraId="0000000D" w:rsidP="00000000" w:rsidRPr="00000000">
      <w:pPr>
        <w:pBdr>
          <w:top w:val="nil" w:sz="0" w:color="auto" w:space="0"/>
          <w:bottom w:val="nil" w:sz="0" w:color="auto" w:space="0"/>
          <w:left w:val="nil" w:sz="0" w:color="auto" w:space="0"/>
          <w:right w:val="nil" w:sz="0" w:color="auto" w:space="0"/>
          <w:between w:val="nil" w:sz="0" w:color="auto" w:space="0"/>
        </w:pBdr>
        <w:shd w:fill="auto" w:val="clear"/>
        <w:rPr>
          <w:b/>
          <w:color w:val="FF5E0E"/>
          <w:rFonts w:ascii="PT Sans Narrow" w:cs="PT Sans Narrow" w:eastAsia="PT Sans Narrow" w:hAnsi="PT Sans Narrow"/>
          <w:sz w:val="36"/>
          <w:szCs w:val="36"/>
        </w:rPr>
      </w:pPr>
      <w:r w:rsidR="00000000" w:rsidDel="00000000" w:rsidRPr="00000000">
        <w:rPr>
          <w:rtl w:val="0"/>
          <w:b/>
          <w:color w:val="FF5E0E"/>
          <w:rFonts w:ascii="PT Sans Narrow" w:cs="PT Sans Narrow" w:eastAsia="PT Sans Narrow" w:hAnsi="PT Sans Narrow"/>
          <w:sz w:val="36"/>
          <w:szCs w:val="36"/>
        </w:rPr>
        <w:t>Hunebedden</w:t>
      </w:r>
    </w:p>
    <w:p w:rsidR="00000000" w:rsidDel="00000000" w:rsidRDefault="00000000" w14:paraId="0000000E" w:rsidP="00000000" w:rsidRPr="00000000">
      <w:pPr/>
      <w:r w:rsidR="00000000" w:rsidDel="00000000" w:rsidRPr="00000000">
        <w:rPr>
          <w:rtl w:val="0"/>
        </w:rPr>
        <w:t xml:space="preserve">De eerste boerensamenleving in Nederland begaafden hun doden. In onder andere Drenthe werden grote rotsen op elkaar gestapeld als een soort huis. Deze graftombes worden ook wel </w:t>
      </w:r>
      <w:r w:rsidR="00000000" w:rsidDel="00000000" w:rsidRPr="00000000">
        <w:rPr>
          <w:rtl w:val="0"/>
          <w:b/>
        </w:rPr>
        <w:t>hunebedden</w:t>
      </w:r>
      <w:r w:rsidR="00000000" w:rsidDel="00000000" w:rsidRPr="00000000">
        <w:rPr>
          <w:rtl w:val="0"/>
        </w:rPr>
        <w:t xml:space="preserve"> genoemd. Belangrijke mensen werden hier begraven. Ze lieten allerlei voorwerpen achter bij de graven.  De hunebedden bestonden uit twee rijen stenen die rechtop stonden, en hierop lag een grote deksteen. Men stapelen de stenen op en zo ontstond een begraafplaats. </w:t>
      </w:r>
      <w:r w:rsidR="00000000" w:rsidDel="00000000" w:rsidRPr="00000000">
        <w:rPr>
          <w:rtl w:val="0"/>
        </w:rPr>
      </w:r>
    </w:p>
    <w:sectPr w:val="1">
      <w:headerReference r:id="rId7" w:type="default"/>
      <w:headerReference r:id="rId8" w:type="first"/>
      <w:footerReference r:id="rId9" w:type="first"/>
      <w:pgNumType w:start="1"/>
      <w:pgSz w:w="12240" w:h="15840" w:orient="portrait"/>
      <w:pgMar w:left="1440" w:right="1440" w:top="1080" w:bottom="1080" w:header="0" w:footer="720"/>
      <w:titlePg/>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alibri"/>
  <w:font w:name="Cambria"/>
  <w:font w:name="Symbol"/>
  <w:font w:name="Courier New"/>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nl"/>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rPr>
      <w:rFonts w:ascii="PT Sans Narrow" w:cs="PT Sans Narrow" w:eastAsia="PT Sans Narrow" w:hAnsi="PT Sans Narrow"/>
      <w:color w:val="008575"/>
      <w:sz w:val="32"/>
      <w:szCs w:val="32"/>
    </w:rPr>
  </w:style>
  <w:style w:type="paragraph" w:styleId="Heading3">
    <w:name w:val="heading 3"/>
    <w:basedOn w:val="Normal"/>
    <w:next w:val="Normal"/>
    <w:pPr>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 Id="rId10" Type="http://schemas.openxmlformats.org/officeDocument/2006/relationships/image" Target="media/image1.png"/><Relationship Id="rId11"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